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und Sanierung der Karl-Brauckmann-Schule: WC-Trennwände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und Erweiterung der Karl-Brauckmann-Schule: WC-Trennwände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